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  <w:t xml:space="preserve">РЕПУБЛИКА СРБИЈА                                                     </w:t>
      </w: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-671195</wp:posOffset>
            </wp:positionH>
            <wp:positionV relativeFrom="paragraph">
              <wp:posOffset>-311785</wp:posOffset>
            </wp:positionV>
            <wp:extent cx="953135" cy="1289050"/>
            <wp:effectExtent l="0" t="0" r="0" b="0"/>
            <wp:wrapSquare wrapText="largest"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b/>
          <w:sz w:val="24"/>
          <w:szCs w:val="24"/>
          <w:lang w:val="sr-Latn-RS" w:eastAsia="sr-Latn-RS"/>
        </w:rPr>
        <w:t>Ш</w:t>
      </w:r>
      <w:r>
        <w:rPr>
          <w:rFonts w:eastAsia="Times New Roman" w:cs="Times New Roman" w:ascii="Times New Roman" w:hAnsi="Times New Roman"/>
          <w:b/>
          <w:sz w:val="24"/>
          <w:szCs w:val="24"/>
          <w:lang w:val="sr-Latn-RS" w:eastAsia="sr-Latn-RS"/>
        </w:rPr>
        <w:t>ифра: КЛ-06-01/03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  <w:t xml:space="preserve">Општина Ћићевац                                                             </w:t>
      </w:r>
      <w:r>
        <w:rPr>
          <w:rFonts w:eastAsia="Times New Roman" w:cs="Times New Roman" w:ascii="Times New Roman" w:hAnsi="Times New Roman"/>
          <w:b/>
          <w:sz w:val="24"/>
          <w:szCs w:val="24"/>
          <w:lang w:val="sr-RS"/>
        </w:rPr>
        <w:t>Датум: 12</w:t>
      </w:r>
      <w:r>
        <w:rPr>
          <w:rFonts w:eastAsia="Times New Roman" w:cs="Times New Roman" w:ascii="Times New Roman" w:hAnsi="Times New Roman"/>
          <w:b/>
          <w:sz w:val="24"/>
          <w:szCs w:val="24"/>
          <w:lang w:val="sr-CS"/>
        </w:rPr>
        <w:t>.</w:t>
      </w:r>
      <w:r>
        <w:rPr>
          <w:rFonts w:eastAsia="Times New Roman" w:cs="Times New Roman" w:ascii="Times New Roman" w:hAnsi="Times New Roman"/>
          <w:b/>
          <w:sz w:val="24"/>
          <w:szCs w:val="24"/>
          <w:lang w:val="sr-RS"/>
        </w:rPr>
        <w:t>04</w:t>
      </w:r>
      <w:r>
        <w:rPr>
          <w:rFonts w:eastAsia="Times New Roman" w:cs="Times New Roman" w:ascii="Times New Roman" w:hAnsi="Times New Roman"/>
          <w:b/>
          <w:sz w:val="24"/>
          <w:szCs w:val="24"/>
          <w:lang w:val="sr-CS"/>
        </w:rPr>
        <w:t>.2021.</w:t>
      </w:r>
      <w:r>
        <w:rPr>
          <w:rFonts w:cs="Times New Roman" w:ascii="Times New Roman" w:hAnsi="Times New Roman"/>
          <w:sz w:val="24"/>
          <w:szCs w:val="24"/>
          <w:lang w:val="sr-CS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  <w:t>Општинска управа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  <w:t>Одсек за</w:t>
      </w:r>
      <w:r>
        <w:rPr>
          <w:rFonts w:cs="Times New Roman" w:ascii="Times New Roman" w:hAnsi="Times New Roman"/>
          <w:sz w:val="24"/>
          <w:szCs w:val="24"/>
          <w:lang w:val="sr-RS"/>
        </w:rPr>
        <w:t xml:space="preserve"> урбанизам,грађевинарство 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R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sr-CS"/>
        </w:rPr>
        <w:t>инспекцијске послове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  <w:t xml:space="preserve">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sr-RS" w:eastAsia="en-US" w:bidi="ar-SA"/>
        </w:rPr>
        <w:t>И</w:t>
      </w:r>
      <w:r>
        <w:rPr>
          <w:rFonts w:cs="Times New Roman" w:ascii="Times New Roman" w:hAnsi="Times New Roman"/>
          <w:sz w:val="24"/>
          <w:szCs w:val="24"/>
          <w:lang w:val="sr-CS"/>
        </w:rPr>
        <w:t xml:space="preserve">нспекција </w:t>
      </w:r>
      <w:r>
        <w:rPr>
          <w:rFonts w:cs="Times New Roman" w:ascii="Times New Roman" w:hAnsi="Times New Roman"/>
          <w:sz w:val="24"/>
          <w:szCs w:val="24"/>
          <w:lang w:val="sr-RS"/>
        </w:rPr>
        <w:t>за заштиту животне средин</w:t>
      </w:r>
      <w:r>
        <w:rPr>
          <w:rFonts w:cs="Times New Roman" w:ascii="Times New Roman" w:hAnsi="Times New Roman"/>
          <w:sz w:val="24"/>
          <w:szCs w:val="24"/>
          <w:lang w:val="sr-Latn-RS"/>
        </w:rPr>
        <w:t>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val="sr-RS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val="sr-RS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val="sr-RS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val="sr-RS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val="sr-RS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val="sr-RS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sr-RS"/>
        </w:rPr>
        <w:t>ЗАШТИТА ЖИВОТНЕ СРЕДИНЕ У ИНДУСТРИЈСКИМ ОБЈЕКТИМА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val="sr-RS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sr-RS"/>
        </w:rPr>
      </w:r>
    </w:p>
    <w:p>
      <w:pPr>
        <w:pStyle w:val="Normal"/>
        <w:suppressLineNumbers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val="sr-RS" w:eastAsia="sr-Latn-RS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sr-RS" w:eastAsia="sr-Latn-RS"/>
        </w:rPr>
        <w:t>Контролна листа: ЗАШТИТА ВАЗДУХА КОД БЕНЗИНСКИХ СТАНИЦА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val="sr-RS" w:eastAsia="sr-Latn-RS"/>
        </w:rPr>
      </w:pPr>
      <w:r>
        <w:rPr>
          <w:rFonts w:eastAsia="Times New Roman" w:cs="Times New Roman" w:ascii="Times New Roman" w:hAnsi="Times New Roman"/>
          <w:sz w:val="24"/>
          <w:szCs w:val="24"/>
          <w:lang w:val="sr-RS" w:eastAsia="sr-Latn-RS"/>
        </w:rPr>
        <w:t>Обавезе за бензинске станице из Закона о заштити ваздуха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  <w:t xml:space="preserve">Контролна листа се не односи на: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  <w:t>1) дизел гориво, авио гориво и ТНГ гориво; и на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  <w:t xml:space="preserve">2) бензинске станице чија је употреба везана за производњу и испоруку нових моторних возила.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lang w:val="sr-RS"/>
        </w:rPr>
      </w:pPr>
      <w:r>
        <w:rPr>
          <w:rFonts w:eastAsia="Calibri" w:cs="Times New Roman" w:ascii="Times New Roman" w:hAnsi="Times New Roman"/>
          <w:sz w:val="24"/>
          <w:szCs w:val="24"/>
          <w:lang w:val="sr-RS"/>
        </w:rPr>
        <w:t>Табела А:</w:t>
      </w:r>
      <w:r>
        <w:rPr>
          <w:rFonts w:eastAsia="Times New Roman" w:cs="Times New Roman" w:ascii="Times New Roman" w:hAnsi="Times New Roman"/>
          <w:bCs/>
          <w:sz w:val="24"/>
          <w:szCs w:val="24"/>
          <w:lang w:val="sr-RS" w:eastAsia="sr-Latn-RS"/>
        </w:rPr>
        <w:t xml:space="preserve"> Општи подаци</w:t>
      </w:r>
    </w:p>
    <w:tbl>
      <w:tblPr>
        <w:tblStyle w:val="TableGrid1"/>
        <w:tblW w:w="10795" w:type="dxa"/>
        <w:jc w:val="left"/>
        <w:tblInd w:w="-72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54"/>
        <w:gridCol w:w="5940"/>
      </w:tblGrid>
      <w:tr>
        <w:trPr/>
        <w:tc>
          <w:tcPr>
            <w:tcW w:w="485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sr-RS"/>
              </w:rPr>
              <w:t>Назив оператера</w:t>
            </w:r>
          </w:p>
        </w:tc>
        <w:tc>
          <w:tcPr>
            <w:tcW w:w="594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5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sr-RS"/>
              </w:rPr>
              <w:t xml:space="preserve">Општина и место седишта </w:t>
            </w:r>
          </w:p>
        </w:tc>
        <w:tc>
          <w:tcPr>
            <w:tcW w:w="594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5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sr-RS"/>
              </w:rPr>
              <w:t xml:space="preserve">Матични број </w:t>
            </w:r>
          </w:p>
        </w:tc>
        <w:tc>
          <w:tcPr>
            <w:tcW w:w="594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5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sr-RS"/>
              </w:rPr>
              <w:t xml:space="preserve">ПИБ </w:t>
            </w:r>
          </w:p>
        </w:tc>
        <w:tc>
          <w:tcPr>
            <w:tcW w:w="594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5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sr-RS"/>
              </w:rPr>
              <w:t>Име особе за контакт</w:t>
            </w:r>
          </w:p>
        </w:tc>
        <w:tc>
          <w:tcPr>
            <w:tcW w:w="594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5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sr-RS"/>
              </w:rPr>
              <w:t>Телефон и електронска адреса контакт особе</w:t>
            </w:r>
          </w:p>
        </w:tc>
        <w:tc>
          <w:tcPr>
            <w:tcW w:w="594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</w:r>
          </w:p>
        </w:tc>
      </w:tr>
      <w:tr>
        <w:trPr/>
        <w:tc>
          <w:tcPr>
            <w:tcW w:w="4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sr-RS"/>
              </w:rPr>
              <w:t xml:space="preserve">Назив бензинске станице </w:t>
            </w:r>
          </w:p>
        </w:tc>
        <w:tc>
          <w:tcPr>
            <w:tcW w:w="594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</w:r>
          </w:p>
        </w:tc>
      </w:tr>
      <w:tr>
        <w:trPr/>
        <w:tc>
          <w:tcPr>
            <w:tcW w:w="4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sr-RS"/>
              </w:rPr>
              <w:t>Општина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sr-RS"/>
              </w:rPr>
              <w:t>и место бензинске станице</w:t>
            </w:r>
          </w:p>
        </w:tc>
        <w:tc>
          <w:tcPr>
            <w:tcW w:w="594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  <w:t>Табела Б: Статус правног лица, предузетника</w:t>
      </w:r>
    </w:p>
    <w:tbl>
      <w:tblPr>
        <w:tblStyle w:val="TableGrid1"/>
        <w:tblW w:w="10800" w:type="dxa"/>
        <w:jc w:val="left"/>
        <w:tblInd w:w="-72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100"/>
        <w:gridCol w:w="2699"/>
      </w:tblGrid>
      <w:tr>
        <w:trPr/>
        <w:tc>
          <w:tcPr>
            <w:tcW w:w="810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69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ДА  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НЕ *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</w:p>
        </w:tc>
      </w:tr>
      <w:tr>
        <w:trPr/>
        <w:tc>
          <w:tcPr>
            <w:tcW w:w="10799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*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sr-RS"/>
              </w:rPr>
              <w:t>Када је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sr-RS"/>
              </w:rPr>
              <w:t>одговор „НЕ“, правно лице и предузетник се сматрају нерегистрованим и надзор се врши у складу са одредбом члана 33. Закона о инспекцијском надзору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</w:r>
    </w:p>
    <w:p>
      <w:pPr>
        <w:pStyle w:val="Normal"/>
        <w:spacing w:lineRule="auto" w:line="240" w:before="120" w:after="120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  <w:t>Табела В: Законске обавезе</w:t>
      </w:r>
    </w:p>
    <w:tbl>
      <w:tblPr>
        <w:tblStyle w:val="TableGrid1"/>
        <w:tblW w:w="10800" w:type="dxa"/>
        <w:jc w:val="left"/>
        <w:tblInd w:w="-71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29"/>
        <w:gridCol w:w="7566"/>
        <w:gridCol w:w="2605"/>
      </w:tblGrid>
      <w:tr>
        <w:trPr>
          <w:trHeight w:val="389" w:hRule="atLeast"/>
          <w:cantSplit w:val="true"/>
        </w:trPr>
        <w:tc>
          <w:tcPr>
            <w:tcW w:w="10800" w:type="dxa"/>
            <w:gridSpan w:val="3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А) Подаци о бензинској станици</w:t>
            </w:r>
          </w:p>
        </w:tc>
      </w:tr>
      <w:tr>
        <w:trPr>
          <w:cantSplit w:val="true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lang w:val="sr-RS"/>
              </w:rPr>
            </w:pPr>
            <w:r>
              <w:rPr>
                <w:rFonts w:cs="Times New Roman" w:ascii="Times New Roman" w:hAnsi="Times New Roman"/>
                <w:bCs/>
                <w:lang w:val="sr-RS"/>
              </w:rPr>
              <w:t>А1</w:t>
            </w:r>
          </w:p>
        </w:tc>
        <w:tc>
          <w:tcPr>
            <w:tcW w:w="7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sr-RS"/>
              </w:rPr>
              <w:t>Да ли је оператер бензинске станице доставио податке Агенцији за заштиту животне средине, на Обрасцу Б из Прилога 5. Правилника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ДА 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НЕ 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Није применљиво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</w:p>
        </w:tc>
      </w:tr>
      <w:tr>
        <w:trPr>
          <w:trHeight w:val="318" w:hRule="atLeast"/>
          <w:cantSplit w:val="true"/>
        </w:trPr>
        <w:tc>
          <w:tcPr>
            <w:tcW w:w="10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Б) Систем фазе </w:t>
            </w:r>
            <w:r>
              <w:rPr>
                <w:rFonts w:cs="Times New Roman" w:ascii="Times New Roman" w:hAnsi="Times New Roman"/>
                <w:sz w:val="24"/>
                <w:szCs w:val="24"/>
                <w:lang w:val="sr-Latn-RS"/>
              </w:rPr>
              <w:t>I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(код истакања горива из аутоцистерне у резервоар бензинске станице)</w:t>
            </w:r>
          </w:p>
        </w:tc>
      </w:tr>
      <w:tr>
        <w:trPr>
          <w:cantSplit w:val="true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sr-RS"/>
              </w:rPr>
              <w:t>Б1</w:t>
            </w:r>
          </w:p>
        </w:tc>
        <w:tc>
          <w:tcPr>
            <w:tcW w:w="7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  <w:bCs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sr-RS"/>
              </w:rPr>
              <w:t>Да ли постоји непропусни прикључни цевовод за враћање бензинске паре у аутоцистерну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  <w:lang w:val="sr-RS"/>
              </w:rPr>
              <w:t xml:space="preserve">(Обавеза постоји за: 1) све бензинске станице које су нове и реконструисане 19.01.2012.године и скорије, за њих се одмах примењује, и за 2) постојеће бензинске станице које су пуштене у рад пре 19.01.2012.год., за њих је рок 01.01.2020.године. </w:t>
            </w:r>
          </w:p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  <w:lang w:val="sr-RS"/>
              </w:rPr>
              <w:t>Обавеза не постоји за: 1) годишње протоке мање од 100m</w:t>
            </w: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  <w:vertAlign w:val="superscript"/>
                <w:lang w:val="sr-RS"/>
              </w:rPr>
              <w:t>3</w:t>
            </w: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  <w:lang w:val="sr-RS"/>
              </w:rPr>
              <w:t>, и за 2) годишње протоке мање од 500m</w:t>
            </w: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  <w:vertAlign w:val="superscript"/>
                <w:lang w:val="sr-RS"/>
              </w:rPr>
              <w:t>3</w:t>
            </w: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  <w:lang w:val="sr-RS"/>
              </w:rPr>
              <w:t xml:space="preserve"> када не штети значајно животној средини и здрављу људи)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ДА 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НЕ 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Није применљиво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</w:p>
        </w:tc>
      </w:tr>
      <w:tr>
        <w:trPr>
          <w:trHeight w:val="367" w:hRule="atLeast"/>
          <w:cantSplit w:val="true"/>
        </w:trPr>
        <w:tc>
          <w:tcPr>
            <w:tcW w:w="1080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В) Систем фазе </w:t>
            </w:r>
            <w:r>
              <w:rPr>
                <w:rFonts w:cs="Times New Roman" w:ascii="Times New Roman" w:hAnsi="Times New Roman"/>
                <w:sz w:val="24"/>
                <w:szCs w:val="24"/>
                <w:lang w:val="sr-Latn-RS"/>
              </w:rPr>
              <w:t>II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(код допуне моторних возила бензином)</w:t>
            </w:r>
          </w:p>
        </w:tc>
      </w:tr>
      <w:tr>
        <w:trPr>
          <w:cantSplit w:val="true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sr-RS"/>
              </w:rPr>
              <w:t>В1</w:t>
            </w:r>
          </w:p>
        </w:tc>
        <w:tc>
          <w:tcPr>
            <w:tcW w:w="7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sr-RS"/>
              </w:rPr>
              <w:t>Да ли је на свим пумпним аутоматима за истакање бензина постављен систем фазе II за сакупљање бензинске паре у резервоар бензинске станице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48"/>
                <w:szCs w:val="72"/>
                <w:lang w:val="sr-RS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  <w:lang w:val="sr-RS"/>
              </w:rPr>
              <w:t>(Обавеза постоји за: 1) постојеће бензинске станице (пуштене у рад пре 19. јануара 2012.године) када је годишња количина бензина унетог у резервоаре 3 000 m</w:t>
            </w: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  <w:vertAlign w:val="superscript"/>
                <w:lang w:val="sr-RS"/>
              </w:rPr>
              <w:t>3</w:t>
            </w: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  <w:lang w:val="sr-RS"/>
              </w:rPr>
              <w:t xml:space="preserve"> и већа, за њих је рок 01.01.2020.године, и за 2) нове бензинске станице и оне које су реконструисане 19.01.2012.године и скорије, када је годишња количина бензина унетог у резервоаре већа од 500 m</w:t>
            </w: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  <w:vertAlign w:val="superscript"/>
                <w:lang w:val="sr-RS"/>
              </w:rPr>
              <w:t>3</w:t>
            </w: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  <w:lang w:val="sr-RS"/>
              </w:rPr>
              <w:t xml:space="preserve"> или већа од 100 m</w:t>
            </w: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  <w:vertAlign w:val="superscript"/>
                <w:lang w:val="sr-RS"/>
              </w:rPr>
              <w:t>3</w:t>
            </w: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  <w:lang w:val="sr-RS"/>
              </w:rPr>
              <w:t xml:space="preserve"> у трајно насељеном месту или радној области, за њих се одмах примењује)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ДА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НЕ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Није применљиво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</w:p>
        </w:tc>
      </w:tr>
      <w:tr>
        <w:trPr>
          <w:cantSplit w:val="true"/>
        </w:trPr>
        <w:tc>
          <w:tcPr>
            <w:tcW w:w="10800" w:type="dxa"/>
            <w:gridSpan w:val="3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sr-RS" w:eastAsia="sr-Latn-RS"/>
              </w:rPr>
              <w:t>Г) Активан систем ф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RS" w:eastAsia="sr-Latn-RS"/>
              </w:rPr>
              <w:t xml:space="preserve">аза 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sr-Latn-RS" w:eastAsia="sr-Latn-RS"/>
              </w:rPr>
              <w:t>II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sr-RS" w:eastAsia="sr-Latn-RS"/>
              </w:rPr>
              <w:t xml:space="preserve"> сакупљања бензинске паре</w:t>
            </w:r>
          </w:p>
        </w:tc>
      </w:tr>
      <w:tr>
        <w:trPr>
          <w:cantSplit w:val="true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sr-RS"/>
              </w:rPr>
              <w:t>Г1</w:t>
            </w:r>
          </w:p>
        </w:tc>
        <w:tc>
          <w:tcPr>
            <w:tcW w:w="7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sr-RS"/>
              </w:rPr>
              <w:t>Да ли је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sr-RS"/>
              </w:rPr>
              <w:t xml:space="preserve">за све пумпне аутомате у последње две године прибављен извештај акредитованог лица о 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мерењу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sr-RS"/>
              </w:rPr>
              <w:t>односа пара/течност према стандарду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СРПС ЕН 16321-1:2014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ДА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НЕ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Није применљиво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</w:p>
        </w:tc>
      </w:tr>
      <w:tr>
        <w:trPr>
          <w:cantSplit w:val="true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sr-RS"/>
              </w:rPr>
              <w:t>Г2</w:t>
            </w:r>
          </w:p>
        </w:tc>
        <w:tc>
          <w:tcPr>
            <w:tcW w:w="7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sr-RS"/>
              </w:rPr>
              <w:t>Да ли се однос пара/течност налази у опсегу 0,95 - 1,05 према извештају акредитованог лица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ДА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НЕ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Није применљиво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</w:p>
        </w:tc>
      </w:tr>
      <w:tr>
        <w:trPr>
          <w:cantSplit w:val="true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sr-RS"/>
              </w:rPr>
              <w:t>Г3</w:t>
            </w:r>
          </w:p>
        </w:tc>
        <w:tc>
          <w:tcPr>
            <w:tcW w:w="7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sr-RS"/>
              </w:rPr>
              <w:t>Да ли за сваки пумпни аутомат постоји потврда (сертификат) произвођача опреме да је ефикасност задржавања бензинских пара 85 % и више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ДА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НЕ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48"/>
                <w:szCs w:val="72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Није применљиво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</w:p>
        </w:tc>
      </w:tr>
      <w:tr>
        <w:trPr>
          <w:cantSplit w:val="true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sr-RS"/>
              </w:rPr>
              <w:t>Г4</w:t>
            </w:r>
          </w:p>
        </w:tc>
        <w:tc>
          <w:tcPr>
            <w:tcW w:w="7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sr-RS"/>
              </w:rPr>
              <w:t xml:space="preserve">Да ли су постављени сви потребни делови из потврде </w:t>
            </w:r>
            <w:r>
              <w:rPr>
                <w:rFonts w:eastAsia="Times New Roman" w:ascii="Times New Roman" w:hAnsi="Times New Roman"/>
                <w:sz w:val="24"/>
                <w:szCs w:val="24"/>
                <w:lang w:val="sr-RS" w:eastAsia="sr-Latn-RS"/>
              </w:rPr>
              <w:t xml:space="preserve">(сертификата) произвођача опреме о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sr-RS"/>
              </w:rPr>
              <w:t>ефикасности задржавања бензинских пара 85 % и више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ДА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НЕ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Није применљиво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</w:p>
        </w:tc>
      </w:tr>
      <w:tr>
        <w:trPr>
          <w:cantSplit w:val="true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sr-RS"/>
              </w:rPr>
              <w:t>Г5</w:t>
            </w:r>
          </w:p>
        </w:tc>
        <w:tc>
          <w:tcPr>
            <w:tcW w:w="7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sr-RS"/>
              </w:rPr>
              <w:t>Да ли је опрема са сакупљање бензинске паре исправно постављена и одржавана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ДА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НЕ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Није применљиво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</w:p>
        </w:tc>
      </w:tr>
      <w:tr>
        <w:trPr>
          <w:cantSplit w:val="true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sr-RS"/>
              </w:rPr>
              <w:t>Г6</w:t>
            </w:r>
          </w:p>
        </w:tc>
        <w:tc>
          <w:tcPr>
            <w:tcW w:w="7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sr-RS"/>
              </w:rPr>
              <w:t>Да ли је за све пумпне аутомате постављен аутоматски контролни систем који прати рад активног система за сакупљање паре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ДА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НЕ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48"/>
                <w:szCs w:val="72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Није применљиво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</w:p>
        </w:tc>
      </w:tr>
      <w:tr>
        <w:trPr>
          <w:cantSplit w:val="true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sr-RS"/>
              </w:rPr>
              <w:t>Г7</w:t>
            </w:r>
          </w:p>
        </w:tc>
        <w:tc>
          <w:tcPr>
            <w:tcW w:w="7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sr-RS"/>
              </w:rPr>
              <w:t>Да ли аутоматски контролни систем, аутоматски одређује грешке у раду система за сакупљање паре и запосленима сигнализира уочене грешке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ДА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НЕ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Није применљиво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</w:p>
        </w:tc>
      </w:tr>
      <w:tr>
        <w:trPr>
          <w:cantSplit w:val="true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sr-RS"/>
              </w:rPr>
              <w:t>Г8</w:t>
            </w:r>
          </w:p>
        </w:tc>
        <w:tc>
          <w:tcPr>
            <w:tcW w:w="7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sr-RS"/>
              </w:rPr>
              <w:t>Да ли аутоматски контролни систем, аутоматски прекида доток горива када дуже од 72 часа сигнализира грешку у раду система за сакупљање паре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ДА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НЕ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Није применљиво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</w:p>
        </w:tc>
      </w:tr>
      <w:tr>
        <w:trPr>
          <w:cantSplit w:val="true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sr-RS"/>
              </w:rPr>
              <w:t>Г9</w:t>
            </w:r>
          </w:p>
        </w:tc>
        <w:tc>
          <w:tcPr>
            <w:tcW w:w="7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sr-RS"/>
              </w:rPr>
              <w:t>Да ли аутоматски контролни систем одређује грешке у свом раду и запосленима аутоматски сигнализира уочене грешке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ДА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НЕ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Није применљиво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</w:p>
        </w:tc>
      </w:tr>
      <w:tr>
        <w:trPr>
          <w:cantSplit w:val="true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sr-RS"/>
              </w:rPr>
              <w:t>Г10</w:t>
            </w:r>
          </w:p>
        </w:tc>
        <w:tc>
          <w:tcPr>
            <w:tcW w:w="7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sr-RS"/>
              </w:rPr>
              <w:t>Да ли аутоматски контролни систем, аутоматски прекида  проток горива када дуже од два часа сигнализира грешке у свом раду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ДА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НЕ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Није применљиво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</w:p>
        </w:tc>
      </w:tr>
      <w:tr>
        <w:trPr>
          <w:cantSplit w:val="true"/>
        </w:trPr>
        <w:tc>
          <w:tcPr>
            <w:tcW w:w="10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sr-RS"/>
              </w:rPr>
              <w:t xml:space="preserve">Д) Пасиван систем 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sr-RS" w:eastAsia="sr-Latn-RS"/>
              </w:rPr>
              <w:t>ф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RS" w:eastAsia="sr-Latn-RS"/>
              </w:rPr>
              <w:t xml:space="preserve">аза 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sr-Latn-RS" w:eastAsia="sr-Latn-RS"/>
              </w:rPr>
              <w:t>II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sr-RS" w:eastAsia="sr-Latn-RS"/>
              </w:rPr>
              <w:t xml:space="preserve"> сакупљања бензинске паре</w:t>
            </w:r>
          </w:p>
        </w:tc>
      </w:tr>
      <w:tr>
        <w:trPr>
          <w:trHeight w:val="1146" w:hRule="atLeast"/>
          <w:cantSplit w:val="true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sr-RS"/>
              </w:rPr>
              <w:t>Д1</w:t>
            </w:r>
          </w:p>
        </w:tc>
        <w:tc>
          <w:tcPr>
            <w:tcW w:w="7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sr-RS"/>
              </w:rPr>
              <w:t xml:space="preserve">Да ли је за све пумпне аутомате једном у три месеца акредитовано лице вршило 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мерење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sr-RS"/>
              </w:rPr>
              <w:t>односа пара/течност према стандарду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СРПС ЕН 16321-1:2014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ДА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НЕ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Није применљиво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</w:p>
        </w:tc>
      </w:tr>
      <w:tr>
        <w:trPr>
          <w:cantSplit w:val="true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sr-RS"/>
              </w:rPr>
              <w:t>Д2</w:t>
            </w:r>
          </w:p>
        </w:tc>
        <w:tc>
          <w:tcPr>
            <w:tcW w:w="7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sr-RS"/>
              </w:rPr>
              <w:t>Да ли је однос пара/течност у опсегу 0,95-1,05 према извештајима акредитованог лица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ДА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НЕ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Није применљиво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</w:p>
        </w:tc>
      </w:tr>
      <w:tr>
        <w:trPr>
          <w:cantSplit w:val="true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sr-RS"/>
              </w:rPr>
              <w:t>Д3</w:t>
            </w:r>
          </w:p>
        </w:tc>
        <w:tc>
          <w:tcPr>
            <w:tcW w:w="7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sr-RS"/>
              </w:rPr>
              <w:t>Да ли за сваки пумпни аутомат постоји потврда (сертификат) произвођача опреме да је ефикасност задржавања бензинских пара 85% и више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ДА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НЕ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48"/>
                <w:szCs w:val="72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Није применљиво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</w:p>
        </w:tc>
      </w:tr>
      <w:tr>
        <w:trPr>
          <w:cantSplit w:val="true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sr-RS"/>
              </w:rPr>
              <w:t>Д4</w:t>
            </w:r>
          </w:p>
        </w:tc>
        <w:tc>
          <w:tcPr>
            <w:tcW w:w="7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sr-RS"/>
              </w:rPr>
              <w:t xml:space="preserve">Да ли су постављени сви потребни делови из потврде </w:t>
            </w:r>
            <w:r>
              <w:rPr>
                <w:rFonts w:eastAsia="Times New Roman" w:ascii="Times New Roman" w:hAnsi="Times New Roman"/>
                <w:sz w:val="24"/>
                <w:szCs w:val="24"/>
                <w:lang w:val="sr-RS" w:eastAsia="sr-Latn-RS"/>
              </w:rPr>
              <w:t xml:space="preserve">(сертификата) произвођача опреме о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sr-RS"/>
              </w:rPr>
              <w:t>ефикасности задржавања бензинских пара 85% и више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ДА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НЕ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Није применљиво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sr-RS"/>
              </w:rPr>
              <w:t>Д5</w:t>
            </w:r>
          </w:p>
        </w:tc>
        <w:tc>
          <w:tcPr>
            <w:tcW w:w="7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vertAlign w:val="superscript"/>
                <w:lang w:val="sr-R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sr-RS"/>
              </w:rPr>
              <w:t>Да ли сва гумена црева са славином за истакање бензина обезбеђују непропустљив пренос горива до резервоара возила, као и слободан проток гаса у систему за сакупљање бензинске паре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ДА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НЕ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Није применљиво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</w:p>
        </w:tc>
      </w:tr>
      <w:tr>
        <w:trPr>
          <w:trHeight w:val="1191" w:hRule="atLeast"/>
          <w:cantSplit w:val="true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sr-RS"/>
              </w:rPr>
              <w:t>Д6</w:t>
            </w:r>
          </w:p>
        </w:tc>
        <w:tc>
          <w:tcPr>
            <w:tcW w:w="7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ru-RU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sr-RS"/>
              </w:rPr>
              <w:t>Да ли сва гумена црева за сакупљање бензинске паре (која повезују пумпни аутомат за истакање и резервоар за складиштење горива на бензинској станици) имају константан опадајући градијент од најмање 1%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shd w:fill="FFFFFF" w:val="clear"/>
                <w:lang w:val="sr-RS"/>
              </w:rPr>
              <w:t xml:space="preserve">, и да ли су унутрашњи прстенови на њима без оштећења 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ДА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НЕ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48"/>
                <w:szCs w:val="72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Није применљиво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24"/>
                    <w:szCs w:val="24"/>
                    <w:lang w:val="sr-RS"/>
                  </w:rPr>
                  <w:t>☐</w:t>
                </w:r>
              </w:sdtContent>
            </w:sdt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Cs/>
          <w:sz w:val="24"/>
          <w:szCs w:val="24"/>
          <w:lang w:val="sr-RS" w:eastAsia="sr-Latn-RS"/>
        </w:rPr>
      </w:pPr>
      <w:r>
        <w:rPr>
          <w:rFonts w:eastAsia="Times New Roman" w:cs="Times New Roman" w:ascii="Times New Roman" w:hAnsi="Times New Roman"/>
          <w:b/>
          <w:iCs/>
          <w:sz w:val="24"/>
          <w:szCs w:val="24"/>
          <w:lang w:val="sr-RS" w:eastAsia="sr-Latn-RS"/>
        </w:rPr>
      </w:r>
    </w:p>
    <w:tbl>
      <w:tblPr>
        <w:tblStyle w:val="TableGrid1"/>
        <w:tblW w:w="10800" w:type="dxa"/>
        <w:jc w:val="left"/>
        <w:tblInd w:w="-72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00"/>
        <w:gridCol w:w="3600"/>
        <w:gridCol w:w="3600"/>
      </w:tblGrid>
      <w:tr>
        <w:trPr/>
        <w:tc>
          <w:tcPr>
            <w:tcW w:w="7200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overflowPunct w:val="true"/>
              <w:spacing w:before="0" w:after="1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RS" w:eastAsia="de-DE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sr-RS"/>
              </w:rPr>
              <w:t>П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редставници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sr-RS"/>
              </w:rPr>
              <w:t xml:space="preserve"> оператера</w:t>
            </w:r>
          </w:p>
        </w:tc>
        <w:tc>
          <w:tcPr>
            <w:tcW w:w="3600" w:type="dxa"/>
            <w:tcBorders/>
            <w:shd w:color="auto" w:fill="auto" w:val="clear"/>
            <w:vAlign w:val="center"/>
          </w:tcPr>
          <w:p>
            <w:pPr>
              <w:pStyle w:val="Normal"/>
              <w:overflowPunct w:val="true"/>
              <w:spacing w:before="0" w:after="1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  <w:t>Инспектори за заштиту животне средине</w:t>
            </w:r>
          </w:p>
        </w:tc>
      </w:tr>
      <w:tr>
        <w:trPr/>
        <w:tc>
          <w:tcPr>
            <w:tcW w:w="3600" w:type="dxa"/>
            <w:tcBorders/>
          </w:tcPr>
          <w:p>
            <w:pPr>
              <w:pStyle w:val="Normal"/>
              <w:overflowPunct w:val="true"/>
              <w:spacing w:before="0" w:after="1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RS" w:eastAsia="de-DE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  <w:t>Име и презиме</w:t>
            </w:r>
          </w:p>
        </w:tc>
        <w:tc>
          <w:tcPr>
            <w:tcW w:w="3600" w:type="dxa"/>
            <w:tcBorders/>
          </w:tcPr>
          <w:p>
            <w:pPr>
              <w:pStyle w:val="Normal"/>
              <w:overflowPunct w:val="true"/>
              <w:spacing w:before="0" w:after="1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  <w:t>Радно место</w:t>
            </w:r>
          </w:p>
        </w:tc>
        <w:tc>
          <w:tcPr>
            <w:tcW w:w="3600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  <w:t>Име и презиме</w:t>
            </w:r>
          </w:p>
        </w:tc>
      </w:tr>
      <w:tr>
        <w:trPr/>
        <w:tc>
          <w:tcPr>
            <w:tcW w:w="3600" w:type="dxa"/>
            <w:tcBorders/>
          </w:tcPr>
          <w:p>
            <w:pPr>
              <w:pStyle w:val="Normal"/>
              <w:overflowPunct w:val="true"/>
              <w:spacing w:before="0" w:after="16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RS" w:eastAsia="de-DE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  <w:t>1.</w:t>
            </w:r>
          </w:p>
        </w:tc>
        <w:tc>
          <w:tcPr>
            <w:tcW w:w="3600" w:type="dxa"/>
            <w:tcBorders/>
          </w:tcPr>
          <w:p>
            <w:pPr>
              <w:pStyle w:val="Normal"/>
              <w:overflowPunct w:val="true"/>
              <w:spacing w:before="0" w:after="16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RS" w:eastAsia="de-DE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</w:r>
          </w:p>
        </w:tc>
        <w:tc>
          <w:tcPr>
            <w:tcW w:w="3600" w:type="dxa"/>
            <w:tcBorders/>
          </w:tcPr>
          <w:p>
            <w:pPr>
              <w:pStyle w:val="Normal"/>
              <w:overflowPunct w:val="true"/>
              <w:spacing w:before="0" w:after="16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  <w:t>1.</w:t>
            </w:r>
          </w:p>
        </w:tc>
      </w:tr>
      <w:tr>
        <w:trPr/>
        <w:tc>
          <w:tcPr>
            <w:tcW w:w="3600" w:type="dxa"/>
            <w:tcBorders/>
          </w:tcPr>
          <w:p>
            <w:pPr>
              <w:pStyle w:val="Normal"/>
              <w:overflowPunct w:val="true"/>
              <w:spacing w:before="0" w:after="1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  <w:t xml:space="preserve">2. </w:t>
            </w:r>
          </w:p>
        </w:tc>
        <w:tc>
          <w:tcPr>
            <w:tcW w:w="3600" w:type="dxa"/>
            <w:tcBorders/>
          </w:tcPr>
          <w:p>
            <w:pPr>
              <w:pStyle w:val="Normal"/>
              <w:overflowPunct w:val="true"/>
              <w:spacing w:before="0" w:after="16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de-DE"/>
              </w:rPr>
            </w:r>
          </w:p>
        </w:tc>
        <w:tc>
          <w:tcPr>
            <w:tcW w:w="3600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  <w:t>2.</w:t>
            </w:r>
          </w:p>
        </w:tc>
      </w:tr>
      <w:tr>
        <w:trPr/>
        <w:tc>
          <w:tcPr>
            <w:tcW w:w="3600" w:type="dxa"/>
            <w:tcBorders/>
          </w:tcPr>
          <w:p>
            <w:pPr>
              <w:pStyle w:val="Normal"/>
              <w:overflowPunct w:val="true"/>
              <w:spacing w:before="0" w:after="1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RS" w:eastAsia="de-DE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  <w:t xml:space="preserve">3. </w:t>
            </w:r>
          </w:p>
        </w:tc>
        <w:tc>
          <w:tcPr>
            <w:tcW w:w="3600" w:type="dxa"/>
            <w:tcBorders/>
          </w:tcPr>
          <w:p>
            <w:pPr>
              <w:pStyle w:val="Normal"/>
              <w:overflowPunct w:val="true"/>
              <w:spacing w:before="0" w:after="16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de-DE"/>
              </w:rPr>
            </w:r>
          </w:p>
        </w:tc>
        <w:tc>
          <w:tcPr>
            <w:tcW w:w="3600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  <w:t>3.</w:t>
            </w:r>
          </w:p>
        </w:tc>
      </w:tr>
      <w:tr>
        <w:trPr>
          <w:trHeight w:val="350" w:hRule="atLeast"/>
        </w:trPr>
        <w:tc>
          <w:tcPr>
            <w:tcW w:w="10800" w:type="dxa"/>
            <w:gridSpan w:val="3"/>
            <w:tcBorders/>
          </w:tcPr>
          <w:p>
            <w:pPr>
              <w:pStyle w:val="Normal"/>
              <w:overflowPunct w:val="true"/>
              <w:spacing w:before="0" w:after="1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RS" w:eastAsia="de-DE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  <w:t>Датум инспекцијског надзора:</w:t>
            </w:r>
          </w:p>
        </w:tc>
      </w:tr>
      <w:tr>
        <w:trPr>
          <w:trHeight w:val="296" w:hRule="atLeast"/>
        </w:trPr>
        <w:tc>
          <w:tcPr>
            <w:tcW w:w="10800" w:type="dxa"/>
            <w:gridSpan w:val="3"/>
            <w:tcBorders/>
          </w:tcPr>
          <w:p>
            <w:pPr>
              <w:pStyle w:val="Normal"/>
              <w:overflowPunct w:val="true"/>
              <w:spacing w:before="0" w:after="1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RS" w:eastAsia="de-DE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val="ru-RU" w:eastAsia="de-DE"/>
              </w:rPr>
              <w:t>Б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  <w:t xml:space="preserve">рој записника, уз који се прилаже контролна листа: </w:t>
            </w:r>
          </w:p>
        </w:tc>
      </w:tr>
    </w:tbl>
    <w:p>
      <w:pPr>
        <w:pStyle w:val="Normal"/>
        <w:spacing w:lineRule="auto" w:line="240" w:before="0" w:after="0"/>
        <w:rPr>
          <w:lang w:val="ru-RU"/>
        </w:rPr>
      </w:pPr>
      <w:r>
        <w:rPr/>
      </w:r>
    </w:p>
    <w:sectPr>
      <w:footerReference w:type="default" r:id="rId3"/>
      <w:type w:val="nextPage"/>
      <w:pgSz w:w="11909" w:h="16834"/>
      <w:pgMar w:left="1238" w:right="1238" w:header="0" w:top="432" w:footer="317" w:bottom="97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S Goth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940095103"/>
    </w:sdtPr>
    <w:sdtContent>
      <w:p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cs="Times New Roman" w:ascii="Times New Roman" w:hAnsi="Times New Roman"/>
            <w:sz w:val="24"/>
            <w:szCs w:val="24"/>
          </w:rPr>
          <w:fldChar w:fldCharType="begin"/>
        </w:r>
        <w:r>
          <w:rPr>
            <w:sz w:val="24"/>
            <w:szCs w:val="24"/>
            <w:rFonts w:cs="Times New Roman" w:ascii="Times New Roman" w:hAnsi="Times New Roman"/>
          </w:rPr>
          <w:instrText> PAGE </w:instrText>
        </w:r>
        <w:r>
          <w:rPr>
            <w:sz w:val="24"/>
            <w:szCs w:val="24"/>
            <w:rFonts w:cs="Times New Roman" w:ascii="Times New Roman" w:hAnsi="Times New Roman"/>
          </w:rPr>
          <w:fldChar w:fldCharType="separate"/>
        </w:r>
        <w:r>
          <w:rPr>
            <w:sz w:val="24"/>
            <w:szCs w:val="24"/>
            <w:rFonts w:cs="Times New Roman" w:ascii="Times New Roman" w:hAnsi="Times New Roman"/>
          </w:rPr>
          <w:t>3</w:t>
        </w:r>
        <w:r>
          <w:rPr>
            <w:sz w:val="24"/>
            <w:szCs w:val="24"/>
            <w:rFonts w:cs="Times New Roman" w:ascii="Times New Roman" w:hAnsi="Times New Roman"/>
          </w:rPr>
          <w:fldChar w:fldCharType="end"/>
        </w:r>
        <w:r>
          <w:rPr>
            <w:rFonts w:cs="Times New Roman" w:ascii="Times New Roman" w:hAnsi="Times New Roman"/>
            <w:sz w:val="24"/>
            <w:szCs w:val="24"/>
            <w:lang w:val="sr-RS"/>
          </w:rPr>
          <w:t>/3</w:t>
        </w:r>
      </w:p>
    </w:sdtContent>
  </w:sdt>
</w:ft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2f4bb0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2f4bb0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6d08e3"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d08e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1">
    <w:name w:val="Table Grid1"/>
    <w:basedOn w:val="TableNormal"/>
    <w:uiPriority w:val="39"/>
    <w:rsid w:val="0042623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0367C-6704-4BFB-8D68-8CDD68F8B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LibreOffice/6.4.0.3$Windows_X86_64 LibreOffice_project/b0a288ab3d2d4774cb44b62f04d5d28733ac6df8</Application>
  <Pages>3</Pages>
  <Words>906</Words>
  <Characters>4524</Characters>
  <CharactersWithSpaces>5443</CharactersWithSpaces>
  <Paragraphs>144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2021-04-07T08:34:00Z</dcterms:created>
  <dc:creator>Aleksandar</dc:creator>
  <dc:description/>
  <dc:language>en-US</dc:language>
  <cp:lastModifiedBy/>
  <cp:lastPrinted>2018-07-25T07:54:00Z</cp:lastPrinted>
  <dcterms:modified xsi:type="dcterms:W3CDTF">2022-08-12T13:38:33Z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